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4"/>
        <w:gridCol w:w="1630"/>
        <w:gridCol w:w="1630"/>
        <w:gridCol w:w="1630"/>
        <w:gridCol w:w="1631"/>
      </w:tblGrid>
      <w:tr w:rsidR="0060718D" w:rsidRPr="0060718D" w:rsidTr="0060718D">
        <w:trPr>
          <w:tblHeader/>
        </w:trPr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900707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  <w:t>Actividad</w:t>
            </w:r>
          </w:p>
          <w:tbl>
            <w:tblPr>
              <w:tblW w:w="750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0"/>
            </w:tblGrid>
            <w:tr w:rsidR="0060718D" w:rsidRPr="0060718D" w:rsidTr="0060718D">
              <w:trPr>
                <w:tblHeader/>
              </w:trPr>
              <w:tc>
                <w:tcPr>
                  <w:tcW w:w="7500" w:type="dxa"/>
                  <w:vAlign w:val="center"/>
                  <w:hideMark/>
                </w:tcPr>
                <w:p w:rsidR="0060718D" w:rsidRPr="0060718D" w:rsidRDefault="0060718D" w:rsidP="0060718D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60718D" w:rsidRPr="0060718D" w:rsidRDefault="0060718D" w:rsidP="0060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900707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900707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  <w:t>Foro de discusión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900707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  <w:t>PDF</w:t>
            </w: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900707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AR"/>
              </w:rPr>
              <w:t>PPT</w:t>
            </w:r>
          </w:p>
        </w:tc>
      </w:tr>
      <w:tr w:rsidR="0060718D" w:rsidRPr="0060718D" w:rsidTr="0060718D"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before="100" w:beforeAutospacing="1" w:after="0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 xml:space="preserve">Inicio de JEHA: Combatiendo los Microorganismos </w:t>
            </w:r>
            <w:proofErr w:type="spellStart"/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Multiresistentes</w:t>
            </w:r>
            <w:proofErr w:type="spellEnd"/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 xml:space="preserve"> (MOMR)</w:t>
            </w:r>
          </w:p>
          <w:p w:rsidR="0060718D" w:rsidRPr="0060718D" w:rsidRDefault="0060718D" w:rsidP="0060718D">
            <w:pPr>
              <w:spacing w:before="100" w:beforeAutospacing="1" w:after="0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P</w:t>
            </w:r>
            <w:r w:rsidRPr="0060718D">
              <w:rPr>
                <w:rFonts w:ascii="Arial" w:eastAsia="Times New Roman" w:hAnsi="Arial" w:cs="Arial"/>
                <w:color w:val="800000"/>
                <w:sz w:val="24"/>
                <w:szCs w:val="24"/>
                <w:lang w:eastAsia="es-AR"/>
              </w:rPr>
              <w:t>resentación de los participantes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5 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5/10 al 8/10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</w:tr>
      <w:tr w:rsidR="0060718D" w:rsidRPr="0060718D" w:rsidTr="0060718D"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before="100" w:beforeAutospacing="1" w:after="105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Un programa de control de los MOMR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8 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8/10 al 12/10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</w:tr>
      <w:tr w:rsidR="0060718D" w:rsidRPr="0060718D" w:rsidTr="0060718D"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before="100" w:beforeAutospacing="1" w:after="105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El control de los antibióticos y su rol sobre los MOMR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12/10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12/10 al 16/10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</w:tr>
      <w:tr w:rsidR="0060718D" w:rsidRPr="0060718D" w:rsidTr="0060718D"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before="100" w:beforeAutospacing="1" w:after="105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Mecanismos de resistencia bacteriana a los antibióticos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5/10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</w:tr>
      <w:tr w:rsidR="0060718D" w:rsidRPr="0060718D" w:rsidTr="0060718D">
        <w:tc>
          <w:tcPr>
            <w:tcW w:w="64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before="100" w:beforeAutospacing="1" w:after="105" w:line="240" w:lineRule="auto"/>
              <w:outlineLvl w:val="3"/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900707"/>
                <w:sz w:val="24"/>
                <w:szCs w:val="24"/>
                <w:lang w:eastAsia="es-AR"/>
              </w:rPr>
              <w:t>Cómo manejar la ropa de los pacientes internados y afectados por MOMR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5/10</w:t>
            </w: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  <w:tc>
          <w:tcPr>
            <w:tcW w:w="16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  <w:tc>
          <w:tcPr>
            <w:tcW w:w="16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45" w:type="dxa"/>
              <w:left w:w="120" w:type="dxa"/>
              <w:bottom w:w="45" w:type="dxa"/>
              <w:right w:w="75" w:type="dxa"/>
            </w:tcMar>
            <w:vAlign w:val="center"/>
            <w:hideMark/>
          </w:tcPr>
          <w:p w:rsidR="0060718D" w:rsidRPr="0060718D" w:rsidRDefault="0060718D" w:rsidP="0060718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  <w:r w:rsidRPr="0060718D"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  <w:t>Acceso</w:t>
            </w:r>
          </w:p>
          <w:p w:rsidR="0060718D" w:rsidRPr="0060718D" w:rsidRDefault="0060718D" w:rsidP="0060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3636"/>
                <w:sz w:val="24"/>
                <w:szCs w:val="24"/>
                <w:lang w:eastAsia="es-AR"/>
              </w:rPr>
            </w:pPr>
          </w:p>
        </w:tc>
      </w:tr>
    </w:tbl>
    <w:p w:rsidR="001B3C9C" w:rsidRDefault="001B3C9C" w:rsidP="0060718D">
      <w:pPr>
        <w:jc w:val="center"/>
      </w:pPr>
    </w:p>
    <w:sectPr w:rsidR="001B3C9C" w:rsidSect="006071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18D"/>
    <w:rsid w:val="001B3C9C"/>
    <w:rsid w:val="0060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C"/>
  </w:style>
  <w:style w:type="paragraph" w:styleId="Ttulo4">
    <w:name w:val="heading 4"/>
    <w:basedOn w:val="Normal"/>
    <w:link w:val="Ttulo4Car"/>
    <w:uiPriority w:val="9"/>
    <w:qFormat/>
    <w:rsid w:val="00607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0718D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1</cp:revision>
  <dcterms:created xsi:type="dcterms:W3CDTF">2012-09-30T14:14:00Z</dcterms:created>
  <dcterms:modified xsi:type="dcterms:W3CDTF">2012-09-30T14:20:00Z</dcterms:modified>
</cp:coreProperties>
</file>